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45" w:rightFromText="45" w:vertAnchor="text" w:horzAnchor="margin" w:tblpXSpec="right" w:tblpY="13"/>
        <w:tblW w:w="33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0"/>
        <w:gridCol w:w="2895"/>
      </w:tblGrid>
      <w:tr w:rsidR="002C0634" w:rsidTr="002C0634">
        <w:trPr>
          <w:trHeight w:val="570"/>
        </w:trPr>
        <w:tc>
          <w:tcPr>
            <w:tcW w:w="480" w:type="dxa"/>
            <w:vMerge w:val="restart"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校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br/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br/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办</w:t>
            </w:r>
          </w:p>
        </w:tc>
        <w:tc>
          <w:tcPr>
            <w:tcW w:w="2895" w:type="dxa"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受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控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文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件</w:t>
            </w:r>
          </w:p>
        </w:tc>
      </w:tr>
      <w:tr w:rsidR="002C0634" w:rsidTr="002C0634">
        <w:trPr>
          <w:trHeight w:val="570"/>
        </w:trPr>
        <w:tc>
          <w:tcPr>
            <w:tcW w:w="0" w:type="auto"/>
            <w:vMerge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lef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895" w:type="dxa"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编号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GDOU-E-10-1</w:t>
            </w:r>
            <w:r w:rsidR="00CB6FE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98</w:t>
            </w:r>
          </w:p>
        </w:tc>
      </w:tr>
      <w:tr w:rsidR="002C0634" w:rsidTr="002C0634">
        <w:trPr>
          <w:trHeight w:val="570"/>
        </w:trPr>
        <w:tc>
          <w:tcPr>
            <w:tcW w:w="0" w:type="auto"/>
            <w:vMerge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lef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895" w:type="dxa"/>
            <w:hideMark/>
          </w:tcPr>
          <w:p w:rsidR="002C0634" w:rsidRPr="002C0634" w:rsidRDefault="002C0634" w:rsidP="002C0634">
            <w:pPr>
              <w:widowControl/>
              <w:spacing w:line="500" w:lineRule="exact"/>
              <w:jc w:val="left"/>
              <w:rPr>
                <w:rFonts w:ascii="宋体" w:hAnsi="宋体" w:cs="宋体"/>
                <w:sz w:val="26"/>
                <w:szCs w:val="26"/>
              </w:rPr>
            </w:pP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  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日期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201</w:t>
            </w:r>
            <w:r w:rsidR="00CB6FE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9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. </w:t>
            </w:r>
            <w:r w:rsidR="00CB6FE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09</w:t>
            </w:r>
            <w:r w:rsidRPr="002C0634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.</w:t>
            </w:r>
            <w:r w:rsidR="00CB6FE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27</w:t>
            </w:r>
          </w:p>
        </w:tc>
      </w:tr>
    </w:tbl>
    <w:p w:rsidR="00AB7156" w:rsidRDefault="00AB7156">
      <w:pPr>
        <w:snapToGrid w:val="0"/>
        <w:jc w:val="center"/>
        <w:rPr>
          <w:rFonts w:ascii="仿宋_GB2312" w:hAnsi="仿宋_GB2312"/>
          <w:bCs/>
          <w:snapToGrid/>
          <w:color w:val="FF0000"/>
          <w:szCs w:val="72"/>
        </w:rPr>
      </w:pPr>
    </w:p>
    <w:p w:rsidR="00AB7156" w:rsidRDefault="00AB7156">
      <w:pPr>
        <w:snapToGrid w:val="0"/>
        <w:jc w:val="center"/>
        <w:rPr>
          <w:rFonts w:ascii="仿宋_GB2312" w:hAnsi="仿宋_GB2312"/>
          <w:bCs/>
          <w:snapToGrid/>
          <w:color w:val="FF0000"/>
          <w:szCs w:val="72"/>
        </w:rPr>
      </w:pPr>
    </w:p>
    <w:p w:rsidR="00AB7156" w:rsidRDefault="00AB7156">
      <w:pPr>
        <w:snapToGrid w:val="0"/>
        <w:jc w:val="center"/>
        <w:rPr>
          <w:rFonts w:ascii="仿宋_GB2312" w:hAnsi="仿宋_GB2312"/>
          <w:bCs/>
          <w:snapToGrid/>
          <w:color w:val="FF0000"/>
          <w:szCs w:val="72"/>
        </w:rPr>
      </w:pPr>
    </w:p>
    <w:p w:rsidR="00AB7156" w:rsidRDefault="00AB7156">
      <w:pPr>
        <w:snapToGrid w:val="0"/>
        <w:jc w:val="center"/>
        <w:rPr>
          <w:rFonts w:ascii="仿宋_GB2312" w:hAnsi="仿宋_GB2312"/>
          <w:bCs/>
          <w:snapToGrid/>
          <w:color w:val="FF0000"/>
          <w:szCs w:val="72"/>
        </w:rPr>
      </w:pPr>
    </w:p>
    <w:p w:rsidR="002C0634" w:rsidRDefault="002C0634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2C0634" w:rsidRDefault="00737B8F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  <w:r w:rsidRPr="00737B8F">
        <w:rPr>
          <w:rFonts w:ascii="仿宋_GB2312" w:hAnsi="仿宋_GB2312"/>
          <w:snapToGrid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5pt;margin-top:111.65pt;width:442.15pt;height:62.35pt;z-index:251657728;mso-position-horizontal-relative:margin;mso-position-vertical-relative:margin" fillcolor="red" strokecolor="red">
            <v:shadow color="#868686"/>
            <v:textpath style="font-family:&quot;方正小标宋简体&quot;;font-size:28pt" trim="t" string="中华人民共和国海事局公告"/>
            <o:lock v:ext="edit" text="f"/>
            <w10:wrap anchorx="margin" anchory="margin"/>
          </v:shape>
        </w:pict>
      </w:r>
    </w:p>
    <w:p w:rsidR="00AB7156" w:rsidRDefault="00AB7156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2C0634" w:rsidRDefault="002C0634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2C0634" w:rsidRDefault="002C0634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2C0634" w:rsidRDefault="002C0634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AB7156" w:rsidRDefault="00AB7156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</w:p>
    <w:p w:rsidR="00AB7156" w:rsidRDefault="00AB7156">
      <w:pPr>
        <w:snapToGrid w:val="0"/>
        <w:jc w:val="center"/>
        <w:rPr>
          <w:rFonts w:ascii="仿宋_GB2312" w:hAnsi="仿宋_GB2312"/>
          <w:b/>
          <w:snapToGrid/>
          <w:color w:val="FF0000"/>
          <w:szCs w:val="72"/>
        </w:rPr>
      </w:pPr>
      <w:r>
        <w:rPr>
          <w:rFonts w:ascii="仿宋_GB2312" w:hAnsi="仿宋_GB2312" w:hint="eastAsia"/>
          <w:snapToGrid/>
          <w:color w:val="000000"/>
        </w:rPr>
        <w:t>第</w:t>
      </w:r>
      <w:bookmarkStart w:id="0" w:name="BKnum"/>
      <w:r>
        <w:rPr>
          <w:rFonts w:ascii="仿宋_GB2312" w:hAnsi="仿宋_GB2312" w:hint="eastAsia"/>
          <w:snapToGrid/>
          <w:color w:val="000000"/>
        </w:rPr>
        <w:t>18</w:t>
      </w:r>
      <w:bookmarkEnd w:id="0"/>
      <w:r>
        <w:rPr>
          <w:rFonts w:ascii="仿宋_GB2312" w:hAnsi="仿宋_GB2312" w:hint="eastAsia"/>
          <w:snapToGrid/>
          <w:color w:val="000000"/>
        </w:rPr>
        <w:t>号</w:t>
      </w:r>
    </w:p>
    <w:p w:rsidR="00AB7156" w:rsidRDefault="00AB7156">
      <w:pPr>
        <w:snapToGrid w:val="0"/>
        <w:rPr>
          <w:rFonts w:ascii="仿宋_GB2312" w:hAnsi="仿宋_GB2312"/>
          <w:snapToGrid/>
          <w:szCs w:val="24"/>
        </w:rPr>
      </w:pPr>
    </w:p>
    <w:p w:rsidR="00AB7156" w:rsidRDefault="00AB7156">
      <w:pPr>
        <w:snapToGrid w:val="0"/>
        <w:rPr>
          <w:rFonts w:ascii="仿宋_GB2312" w:hAnsi="仿宋_GB2312"/>
          <w:snapToGrid/>
          <w:szCs w:val="24"/>
        </w:rPr>
      </w:pPr>
    </w:p>
    <w:p w:rsidR="00AB7156" w:rsidRDefault="00AB7156">
      <w:pPr>
        <w:snapToGrid w:val="0"/>
        <w:jc w:val="center"/>
        <w:rPr>
          <w:rFonts w:ascii="方正小标宋简体" w:eastAsia="方正小标宋简体" w:hAnsi="仿宋"/>
          <w:snapToGrid/>
          <w:color w:val="000000"/>
          <w:sz w:val="44"/>
          <w:szCs w:val="44"/>
        </w:rPr>
      </w:pPr>
      <w:bookmarkStart w:id="1" w:name="BKsubject"/>
      <w:r>
        <w:rPr>
          <w:rFonts w:ascii="方正小标宋简体" w:eastAsia="方正小标宋简体" w:hAnsi="方正小标宋简体" w:hint="eastAsia"/>
          <w:snapToGrid/>
          <w:color w:val="000000"/>
          <w:sz w:val="44"/>
          <w:szCs w:val="44"/>
        </w:rPr>
        <w:t>中华人民共和国海事局关于调整海船值班水手、机工英语听力与会话评估有关事项的公告</w:t>
      </w:r>
      <w:bookmarkEnd w:id="1"/>
    </w:p>
    <w:p w:rsidR="00AB7156" w:rsidRDefault="00AB7156">
      <w:pPr>
        <w:snapToGrid w:val="0"/>
        <w:rPr>
          <w:rFonts w:ascii="仿宋_GB2312" w:hAnsi="仿宋_GB2312"/>
          <w:snapToGrid/>
        </w:rPr>
      </w:pP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bookmarkStart w:id="2" w:name="BKbody"/>
      <w:bookmarkEnd w:id="2"/>
      <w:r>
        <w:rPr>
          <w:rFonts w:ascii="仿宋_GB2312" w:hAnsi="仿宋_GB2312" w:hint="eastAsia"/>
        </w:rPr>
        <w:t>为进一步提升船员实操能力，根据《海船船员培训大纲》，我局对海船值班水手、机工英语听力与会话评估的题型、题量、分值、时长、及格分数线和评估及格的认定等事项进行了调整（见附件），自2019年11月1日起实施。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特此公告。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附件：海船值班水手、机工英语听力与会话评估题型、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 xml:space="preserve">      题量、分值、时长、及格分数线设置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</w:p>
    <w:p w:rsidR="00AB7156" w:rsidRDefault="00AB7156">
      <w:pPr>
        <w:snapToGrid w:val="0"/>
        <w:ind w:rightChars="305" w:right="963"/>
        <w:jc w:val="right"/>
        <w:rPr>
          <w:rFonts w:ascii="仿宋_GB2312" w:hAnsi="仿宋_GB2312"/>
          <w:snapToGrid/>
          <w:color w:val="000000"/>
          <w:szCs w:val="28"/>
        </w:rPr>
      </w:pPr>
      <w:r>
        <w:rPr>
          <w:rFonts w:ascii="仿宋_GB2312" w:hAnsi="仿宋_GB2312" w:hint="eastAsia"/>
          <w:snapToGrid/>
          <w:color w:val="000000"/>
          <w:szCs w:val="28"/>
        </w:rPr>
        <w:lastRenderedPageBreak/>
        <w:t>中华人民共和国海事局</w:t>
      </w:r>
      <w:bookmarkStart w:id="3" w:name="shuqian"/>
      <w:bookmarkEnd w:id="3"/>
    </w:p>
    <w:p w:rsidR="00AB7156" w:rsidRDefault="00AB7156">
      <w:pPr>
        <w:wordWrap w:val="0"/>
        <w:jc w:val="right"/>
        <w:rPr>
          <w:rFonts w:ascii="仿宋_GB2312" w:hAnsi="仿宋_GB2312"/>
        </w:rPr>
      </w:pPr>
      <w:bookmarkStart w:id="4" w:name="BKregtime"/>
      <w:r>
        <w:rPr>
          <w:rFonts w:ascii="仿宋_GB2312" w:hAnsi="仿宋_GB2312" w:hint="eastAsia"/>
          <w:snapToGrid/>
          <w:color w:val="000000"/>
          <w:szCs w:val="28"/>
        </w:rPr>
        <w:t>2019年9月26日</w:t>
      </w:r>
      <w:bookmarkEnd w:id="4"/>
      <w:r>
        <w:rPr>
          <w:rFonts w:ascii="仿宋_GB2312" w:hAnsi="仿宋_GB2312" w:hint="eastAsia"/>
          <w:snapToGrid/>
          <w:color w:val="000000"/>
          <w:szCs w:val="28"/>
        </w:rPr>
        <w:t xml:space="preserve">        </w:t>
      </w:r>
    </w:p>
    <w:p w:rsidR="00AB7156" w:rsidRDefault="00AB715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  <w:r>
        <w:rPr>
          <w:rFonts w:ascii="黑体" w:eastAsia="黑体" w:hAnsi="黑体" w:hint="eastAsia"/>
        </w:rPr>
        <w:lastRenderedPageBreak/>
        <w:t>附件</w:t>
      </w:r>
    </w:p>
    <w:p w:rsidR="00AB7156" w:rsidRDefault="00AB7156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</w:rPr>
      </w:pPr>
    </w:p>
    <w:p w:rsidR="00AB7156" w:rsidRDefault="00AB7156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海船值班水手、机工英语听力与会话评估</w:t>
      </w:r>
    </w:p>
    <w:p w:rsidR="00AB7156" w:rsidRDefault="00AB7156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题型、题量、分值、时长、及格分数线设置</w:t>
      </w:r>
    </w:p>
    <w:p w:rsidR="00AB7156" w:rsidRDefault="00AB7156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</w:t>
      </w:r>
    </w:p>
    <w:p w:rsidR="00AB7156" w:rsidRDefault="00AB7156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一、值班水手、机工英语听力与会话题型与题量设置</w:t>
      </w:r>
    </w:p>
    <w:p w:rsidR="00AB7156" w:rsidRDefault="00AB7156" w:rsidP="00986610">
      <w:pPr>
        <w:ind w:firstLineChars="200" w:firstLine="632"/>
        <w:jc w:val="left"/>
        <w:rPr>
          <w:rFonts w:ascii="楷体_GB2312" w:eastAsia="楷体_GB2312" w:hAnsi="楷体_GB2312"/>
        </w:rPr>
      </w:pPr>
      <w:r>
        <w:rPr>
          <w:rFonts w:ascii="楷体_GB2312" w:eastAsia="楷体_GB2312" w:hAnsi="楷体_GB2312" w:hint="eastAsia"/>
        </w:rPr>
        <w:t>（一）值班水手英语听力与会话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1.词汇题（总计50分）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（1）听录音选图（25道题，每题1分，总计25分）；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（2）看图说英语单词或词汇（25道题，每题1分，总计25分）。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2.单句题（总计20分）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根据听到的单句选择对应的中文（10道题，每题2分，总计20分）。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3.场景题（总计30分）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根据对话、图片或动画场景回答问题（10道题，每题3分，总计30分）。</w:t>
      </w:r>
    </w:p>
    <w:p w:rsidR="00AB7156" w:rsidRDefault="00AB7156" w:rsidP="00986610">
      <w:pPr>
        <w:ind w:firstLineChars="200" w:firstLine="632"/>
        <w:jc w:val="left"/>
        <w:rPr>
          <w:rFonts w:ascii="楷体_GB2312" w:eastAsia="楷体_GB2312" w:hAnsi="楷体_GB2312"/>
        </w:rPr>
      </w:pPr>
      <w:r>
        <w:rPr>
          <w:rFonts w:ascii="楷体_GB2312" w:eastAsia="楷体_GB2312" w:hAnsi="楷体_GB2312" w:hint="eastAsia"/>
        </w:rPr>
        <w:t>（二）值班机工英语听力与会话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1.词汇题（总计50分）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（1）听录音选图（25道题，每题1分，总计25分）；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（2）看图说英语单词或词汇（25道题，每题1分，总计25分）。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lastRenderedPageBreak/>
        <w:t>2.单句题（总计30分）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根据听到的单句选择对应的中文（10道题，每题3分，总计30分）。</w:t>
      </w:r>
    </w:p>
    <w:p w:rsidR="00AB7156" w:rsidRDefault="00AB7156" w:rsidP="00986610">
      <w:pPr>
        <w:ind w:firstLineChars="200" w:firstLine="632"/>
        <w:jc w:val="left"/>
        <w:rPr>
          <w:rFonts w:ascii="仿宋_GB2312" w:hAnsi="仿宋_GB2312"/>
        </w:rPr>
      </w:pPr>
      <w:r>
        <w:rPr>
          <w:rFonts w:ascii="仿宋_GB2312" w:hAnsi="仿宋_GB2312" w:hint="eastAsia"/>
        </w:rPr>
        <w:t>3.场景题（总计20分）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根据对话、图片或动画场景回答问题（5道题，每题4分，总计20分）。</w:t>
      </w:r>
    </w:p>
    <w:p w:rsidR="00AB7156" w:rsidRDefault="00AB7156" w:rsidP="00986610">
      <w:pPr>
        <w:ind w:firstLineChars="200" w:firstLine="632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二、评估方式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采用计算机终端考试方式进行评估，每个试题可播放2次。</w:t>
      </w:r>
    </w:p>
    <w:p w:rsidR="00AB7156" w:rsidRDefault="00AB7156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三、评估时间</w:t>
      </w:r>
    </w:p>
    <w:p w:rsidR="00AB7156" w:rsidRDefault="00AB7156">
      <w:pPr>
        <w:rPr>
          <w:rFonts w:ascii="仿宋_GB2312" w:hAnsi="仿宋_GB2312"/>
          <w:snapToGrid/>
          <w:color w:val="000000"/>
        </w:rPr>
      </w:pPr>
      <w:r>
        <w:rPr>
          <w:rFonts w:ascii="仿宋_GB2312" w:hAnsi="仿宋_GB2312" w:hint="eastAsia"/>
        </w:rPr>
        <w:t xml:space="preserve">    评估总时间不超过60分钟。</w:t>
      </w:r>
    </w:p>
    <w:p w:rsidR="00AB7156" w:rsidRDefault="00AB7156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四、总分与及格线设置</w:t>
      </w:r>
    </w:p>
    <w:p w:rsidR="00AB7156" w:rsidRDefault="00AB7156" w:rsidP="00986610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评估满分100分，及格分数为60分。其中值班水手听力与会话中关于航行安全部分的试题为必对项，答错其中1题则本次评估判定为不及格。</w:t>
      </w:r>
    </w:p>
    <w:p w:rsidR="00AB7156" w:rsidRDefault="00AB7156">
      <w:pPr>
        <w:rPr>
          <w:rFonts w:ascii="仿宋_GB2312" w:hAnsi="仿宋_GB2312"/>
        </w:rPr>
      </w:pPr>
    </w:p>
    <w:p w:rsidR="00AB7156" w:rsidRDefault="00AB7156">
      <w:pPr>
        <w:rPr>
          <w:rFonts w:ascii="仿宋_GB2312" w:hAnsi="仿宋_GB2312"/>
        </w:rPr>
      </w:pPr>
    </w:p>
    <w:p w:rsidR="00AB7156" w:rsidRDefault="00AB7156" w:rsidP="00986610">
      <w:pPr>
        <w:ind w:firstLineChars="200" w:firstLine="632"/>
        <w:rPr>
          <w:rFonts w:ascii="仿宋_GB2312" w:hAnsi="仿宋_GB2312"/>
          <w:snapToGrid/>
          <w:color w:val="000000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 w:rsidP="00986610">
      <w:pPr>
        <w:snapToGrid w:val="0"/>
        <w:ind w:rightChars="263" w:right="831"/>
        <w:jc w:val="right"/>
        <w:rPr>
          <w:rFonts w:ascii="仿宋_GB2312" w:hAnsi="仿宋_GB2312"/>
          <w:snapToGrid/>
          <w:color w:val="000000"/>
          <w:szCs w:val="28"/>
        </w:rPr>
      </w:pPr>
    </w:p>
    <w:p w:rsidR="00AB7156" w:rsidRDefault="00AB7156">
      <w:pPr>
        <w:wordWrap w:val="0"/>
        <w:snapToGrid w:val="0"/>
        <w:ind w:rightChars="406" w:right="1282"/>
        <w:jc w:val="right"/>
        <w:rPr>
          <w:rFonts w:ascii="仿宋_GB2312" w:hAnsi="仿宋_GB2312"/>
          <w:snapToGrid/>
          <w:color w:val="000000"/>
          <w:szCs w:val="28"/>
        </w:rPr>
      </w:pPr>
      <w:r>
        <w:rPr>
          <w:rFonts w:ascii="仿宋_GB2312" w:hAnsi="仿宋_GB2312" w:hint="eastAsia"/>
          <w:snapToGrid/>
          <w:color w:val="000000"/>
          <w:szCs w:val="28"/>
        </w:rPr>
        <w:t xml:space="preserve"> </w:t>
      </w:r>
    </w:p>
    <w:p w:rsidR="00AB7156" w:rsidRDefault="00AB7156" w:rsidP="00986610">
      <w:pPr>
        <w:snapToGrid w:val="0"/>
        <w:ind w:leftChars="100" w:left="316" w:rightChars="100" w:right="316"/>
        <w:jc w:val="right"/>
        <w:rPr>
          <w:rFonts w:ascii="仿宋_GB2312" w:hAnsi="仿宋_GB2312"/>
          <w:snapToGrid/>
          <w:color w:val="000000"/>
        </w:rPr>
        <w:sectPr w:rsidR="00AB7156" w:rsidSect="002C0634">
          <w:footerReference w:type="even" r:id="rId6"/>
          <w:footerReference w:type="default" r:id="rId7"/>
          <w:type w:val="continuous"/>
          <w:pgSz w:w="11906" w:h="16838"/>
          <w:pgMar w:top="1474" w:right="1531" w:bottom="2041" w:left="1531" w:header="851" w:footer="1616" w:gutter="0"/>
          <w:cols w:space="720"/>
          <w:docGrid w:type="linesAndChars" w:linePitch="579" w:charSpace="-849"/>
        </w:sectPr>
      </w:pPr>
    </w:p>
    <w:tbl>
      <w:tblPr>
        <w:tblpPr w:leftFromText="180" w:rightFromText="180" w:horzAnchor="page" w:tblpXSpec="center" w:tblpYSpec="bottom"/>
        <w:tblOverlap w:val="never"/>
        <w:tblW w:w="0" w:type="auto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3"/>
      </w:tblGrid>
      <w:tr w:rsidR="00AB7156">
        <w:trPr>
          <w:trHeight w:val="544"/>
          <w:jc w:val="center"/>
        </w:trPr>
        <w:tc>
          <w:tcPr>
            <w:tcW w:w="8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B7156" w:rsidRDefault="00AB7156" w:rsidP="00986610">
            <w:pPr>
              <w:tabs>
                <w:tab w:val="left" w:pos="315"/>
                <w:tab w:val="left" w:pos="320"/>
                <w:tab w:val="left" w:pos="420"/>
                <w:tab w:val="left" w:pos="8500"/>
              </w:tabs>
              <w:snapToGrid w:val="0"/>
              <w:ind w:leftChars="50" w:left="986" w:rightChars="50" w:right="158" w:hangingChars="300" w:hanging="828"/>
              <w:rPr>
                <w:rFonts w:ascii="Times New Roman" w:hAnsi="Times New Roman"/>
                <w:snapToGrid/>
              </w:rPr>
            </w:pPr>
            <w:r>
              <w:rPr>
                <w:rFonts w:ascii="仿宋_GB2312" w:hAnsi="仿宋_GB2312" w:hint="eastAsia"/>
                <w:snapToGrid/>
                <w:sz w:val="28"/>
                <w:szCs w:val="28"/>
              </w:rPr>
              <w:lastRenderedPageBreak/>
              <w:t>分送</w:t>
            </w:r>
            <w:r>
              <w:rPr>
                <w:rFonts w:ascii="仿宋_GB2312" w:hAnsi="仿宋_GB2312" w:hint="eastAsia"/>
                <w:snapToGrid/>
                <w:sz w:val="28"/>
              </w:rPr>
              <w:t>：</w:t>
            </w:r>
            <w:bookmarkStart w:id="5" w:name="BKchaosong"/>
            <w:r>
              <w:rPr>
                <w:rFonts w:ascii="仿宋_GB2312" w:hAnsi="仿宋_GB2312" w:hint="eastAsia"/>
                <w:snapToGrid/>
                <w:sz w:val="28"/>
              </w:rPr>
              <w:t>各直属海事局</w:t>
            </w:r>
            <w:bookmarkEnd w:id="5"/>
          </w:p>
        </w:tc>
      </w:tr>
      <w:tr w:rsidR="00AB7156">
        <w:trPr>
          <w:trHeight w:val="544"/>
          <w:jc w:val="center"/>
        </w:trPr>
        <w:tc>
          <w:tcPr>
            <w:tcW w:w="8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B7156" w:rsidRDefault="00AB7156" w:rsidP="00986610">
            <w:pPr>
              <w:snapToGrid w:val="0"/>
              <w:ind w:leftChars="50" w:left="335" w:rightChars="50" w:right="158" w:hangingChars="64" w:hanging="177"/>
              <w:rPr>
                <w:snapToGrid/>
              </w:rPr>
            </w:pPr>
            <w:r>
              <w:rPr>
                <w:rFonts w:ascii="仿宋_GB2312" w:hAnsi="仿宋_GB2312" w:hint="eastAsia"/>
                <w:snapToGrid/>
                <w:sz w:val="28"/>
                <w:szCs w:val="28"/>
              </w:rPr>
              <w:t xml:space="preserve">中华人民共和国海事局                   </w:t>
            </w:r>
            <w:bookmarkStart w:id="6" w:name="BKprinttime"/>
            <w:r>
              <w:rPr>
                <w:rFonts w:ascii="仿宋_GB2312" w:hAnsi="仿宋_GB2312" w:hint="eastAsia"/>
                <w:snapToGrid/>
                <w:sz w:val="28"/>
                <w:szCs w:val="28"/>
              </w:rPr>
              <w:t>2019年9月26日</w:t>
            </w:r>
            <w:bookmarkEnd w:id="6"/>
            <w:r>
              <w:rPr>
                <w:rFonts w:ascii="仿宋_GB2312" w:hAnsi="仿宋_GB2312" w:hint="eastAsia"/>
                <w:snapToGrid/>
                <w:sz w:val="28"/>
                <w:szCs w:val="28"/>
              </w:rPr>
              <w:t>印发</w:t>
            </w:r>
          </w:p>
        </w:tc>
      </w:tr>
    </w:tbl>
    <w:p w:rsidR="00AB7156" w:rsidRDefault="00AB7156">
      <w:pPr>
        <w:snapToGrid w:val="0"/>
        <w:rPr>
          <w:rFonts w:ascii="仿宋_GB2312" w:hAnsi="仿宋_GB2312"/>
          <w:snapToGrid/>
          <w:color w:val="000000"/>
        </w:rPr>
      </w:pPr>
    </w:p>
    <w:sectPr w:rsidR="00AB7156" w:rsidSect="00737B8F">
      <w:type w:val="continuous"/>
      <w:pgSz w:w="11906" w:h="16838"/>
      <w:pgMar w:top="2041" w:right="1531" w:bottom="2041" w:left="1531" w:header="851" w:footer="1616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D0" w:rsidRDefault="008E11D0">
      <w:r>
        <w:separator/>
      </w:r>
    </w:p>
  </w:endnote>
  <w:endnote w:type="continuationSeparator" w:id="1">
    <w:p w:rsidR="008E11D0" w:rsidRDefault="008E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6" w:rsidRDefault="00AB7156" w:rsidP="00986610">
    <w:pPr>
      <w:framePr w:h="0" w:wrap="around" w:vAnchor="text" w:hAnchor="margin" w:xAlign="outside" w:yAlign="top"/>
      <w:ind w:leftChars="101" w:left="326" w:hanging="3"/>
    </w:pPr>
    <w:r>
      <w:rPr>
        <w:rFonts w:ascii="Times New Roman" w:hAnsi="Times New Roman"/>
      </w:rPr>
      <w:t xml:space="preserve">—  </w:t>
    </w:r>
    <w:r w:rsidR="00737B8F"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 w:rsidR="00737B8F">
      <w:rPr>
        <w:rFonts w:ascii="Times New Roman" w:hAnsi="Times New Roman"/>
        <w:sz w:val="28"/>
      </w:rPr>
      <w:fldChar w:fldCharType="separate"/>
    </w:r>
    <w:r w:rsidR="00CB6FEA">
      <w:rPr>
        <w:rFonts w:ascii="Times New Roman" w:hAnsi="Times New Roman"/>
        <w:noProof/>
        <w:sz w:val="28"/>
      </w:rPr>
      <w:t>4</w:t>
    </w:r>
    <w:r w:rsidR="00737B8F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 w:rsidR="00AB7156" w:rsidRDefault="00AB71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6" w:rsidRDefault="00AB7156">
    <w:pPr>
      <w:framePr w:h="0" w:wrap="around" w:vAnchor="text" w:hAnchor="margin" w:xAlign="outside" w:yAlign="top"/>
      <w:ind w:rightChars="101" w:right="323"/>
    </w:pPr>
    <w:r>
      <w:rPr>
        <w:rFonts w:ascii="Times New Roman" w:hAnsi="Times New Roman"/>
        <w:sz w:val="28"/>
      </w:rPr>
      <w:t xml:space="preserve">—  </w:t>
    </w:r>
    <w:r w:rsidR="00737B8F"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 w:rsidR="00737B8F">
      <w:rPr>
        <w:rFonts w:ascii="Times New Roman" w:hAnsi="Times New Roman"/>
        <w:sz w:val="28"/>
      </w:rPr>
      <w:fldChar w:fldCharType="separate"/>
    </w:r>
    <w:r w:rsidR="00CB6FEA">
      <w:rPr>
        <w:rFonts w:ascii="Times New Roman" w:hAnsi="Times New Roman"/>
        <w:noProof/>
        <w:sz w:val="28"/>
      </w:rPr>
      <w:t>1</w:t>
    </w:r>
    <w:r w:rsidR="00737B8F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ascii="Times New Roman" w:hAnsi="Times New Roman" w:hint="eastAsia"/>
      </w:rPr>
      <w:t xml:space="preserve">   </w:t>
    </w:r>
  </w:p>
  <w:p w:rsidR="00AB7156" w:rsidRDefault="00AB715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D0" w:rsidRDefault="008E11D0">
      <w:r>
        <w:separator/>
      </w:r>
    </w:p>
  </w:footnote>
  <w:footnote w:type="continuationSeparator" w:id="1">
    <w:p w:rsidR="008E11D0" w:rsidRDefault="008E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6" strokecolor="none [3213]">
      <v:stroke 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B71"/>
    <w:rsid w:val="000F5BE5"/>
    <w:rsid w:val="002C0634"/>
    <w:rsid w:val="00737B8F"/>
    <w:rsid w:val="00792EE4"/>
    <w:rsid w:val="007D7CEC"/>
    <w:rsid w:val="008E11D0"/>
    <w:rsid w:val="008F5B71"/>
    <w:rsid w:val="00986610"/>
    <w:rsid w:val="00AB7156"/>
    <w:rsid w:val="00CB6FEA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F"/>
    <w:pPr>
      <w:widowControl w:val="0"/>
      <w:jc w:val="both"/>
    </w:pPr>
    <w:rPr>
      <w:rFonts w:eastAsia="仿宋_GB2312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7B8F"/>
  </w:style>
  <w:style w:type="character" w:customStyle="1" w:styleId="Char">
    <w:name w:val="日期 Char"/>
    <w:basedOn w:val="a0"/>
    <w:link w:val="a4"/>
    <w:rsid w:val="00737B8F"/>
  </w:style>
  <w:style w:type="character" w:customStyle="1" w:styleId="Char0">
    <w:name w:val="页眉 Char"/>
    <w:link w:val="a5"/>
    <w:rsid w:val="00737B8F"/>
    <w:rPr>
      <w:kern w:val="2"/>
      <w:sz w:val="18"/>
      <w:szCs w:val="18"/>
    </w:rPr>
  </w:style>
  <w:style w:type="character" w:customStyle="1" w:styleId="Char1">
    <w:name w:val="页脚 Char"/>
    <w:link w:val="a6"/>
    <w:rsid w:val="00737B8F"/>
    <w:rPr>
      <w:kern w:val="2"/>
      <w:sz w:val="18"/>
      <w:szCs w:val="18"/>
    </w:rPr>
  </w:style>
  <w:style w:type="paragraph" w:styleId="a6">
    <w:name w:val="footer"/>
    <w:basedOn w:val="a"/>
    <w:link w:val="Char1"/>
    <w:rsid w:val="00737B8F"/>
    <w:pPr>
      <w:tabs>
        <w:tab w:val="center" w:pos="4153"/>
        <w:tab w:val="right" w:pos="8306"/>
      </w:tabs>
      <w:snapToGrid w:val="0"/>
      <w:jc w:val="left"/>
    </w:pPr>
    <w:rPr>
      <w:rFonts w:eastAsia="宋体"/>
      <w:snapToGrid/>
      <w:kern w:val="2"/>
      <w:sz w:val="18"/>
      <w:szCs w:val="18"/>
    </w:rPr>
  </w:style>
  <w:style w:type="paragraph" w:styleId="a4">
    <w:name w:val="Date"/>
    <w:basedOn w:val="a"/>
    <w:next w:val="a"/>
    <w:link w:val="Char"/>
    <w:rsid w:val="00737B8F"/>
    <w:pPr>
      <w:ind w:leftChars="2500" w:left="100"/>
    </w:pPr>
  </w:style>
  <w:style w:type="paragraph" w:styleId="a5">
    <w:name w:val="header"/>
    <w:basedOn w:val="a"/>
    <w:link w:val="Char0"/>
    <w:rsid w:val="0073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napToGrid/>
      <w:kern w:val="2"/>
      <w:sz w:val="18"/>
      <w:szCs w:val="18"/>
    </w:rPr>
  </w:style>
  <w:style w:type="table" w:styleId="a7">
    <w:name w:val="Table Grid"/>
    <w:basedOn w:val="a1"/>
    <w:uiPriority w:val="59"/>
    <w:rsid w:val="002C0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013;&#21326;&#20154;&#27665;&#20849;&#21644;&#22269;&#28023;&#20107;&#23616;&#20851;&#20110;&#35843;&#25972;&#28023;&#33337;&#20540;&#29677;&#27700;&#25163;&#12289;&#26426;&#24037;&#33521;&#35821;&#21548;&#21147;&#19982;&#20250;&#35805;&#35780;&#20272;&#26377;&#20851;&#20107;&#39033;&#30340;&#20844;&#21578;.wps&#31532;18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中华人民共和国海事局关于调整海船值班水手、机工英语听力与会话评估有关事项的公告.wps第18号</Template>
  <TotalTime>0</TotalTime>
  <Pages>5</Pages>
  <Words>141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中华人民共和国海事局文件</dc:title>
  <dc:creator>莫瑶琴</dc:creator>
  <cp:lastModifiedBy>莫瑶琴</cp:lastModifiedBy>
  <cp:revision>2</cp:revision>
  <cp:lastPrinted>1601-01-01T00:00:00Z</cp:lastPrinted>
  <dcterms:created xsi:type="dcterms:W3CDTF">2019-12-06T02:40:00Z</dcterms:created>
  <dcterms:modified xsi:type="dcterms:W3CDTF">2019-12-06T02:40:00Z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